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5AF33" w14:textId="6410494D" w:rsidR="00C72EA7"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#106 meeting</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sz w:val="24"/>
          <w:szCs w:val="24"/>
        </w:rPr>
        <w:t>R4-23</w:t>
      </w:r>
      <w:r w:rsidR="007D7A34">
        <w:rPr>
          <w:rFonts w:ascii="Arial" w:eastAsia="Arial" w:hAnsi="Arial" w:cs="Arial"/>
          <w:b/>
          <w:color w:val="000000"/>
          <w:sz w:val="24"/>
          <w:szCs w:val="24"/>
        </w:rPr>
        <w:t>00206</w:t>
      </w:r>
    </w:p>
    <w:p w14:paraId="316F1590" w14:textId="77777777" w:rsidR="00C72EA7" w:rsidRDefault="00000000">
      <w:pPr>
        <w:rPr>
          <w:rFonts w:ascii="Arial" w:eastAsia="Arial" w:hAnsi="Arial" w:cs="Arial"/>
          <w:b/>
          <w:sz w:val="24"/>
          <w:szCs w:val="24"/>
        </w:rPr>
      </w:pPr>
      <w:r>
        <w:rPr>
          <w:rFonts w:ascii="Arial" w:eastAsia="Arial" w:hAnsi="Arial" w:cs="Arial"/>
          <w:b/>
          <w:sz w:val="24"/>
          <w:szCs w:val="24"/>
        </w:rPr>
        <w:t>Athens, Greece, February 27</w:t>
      </w:r>
      <w:r>
        <w:rPr>
          <w:rFonts w:ascii="Arial" w:eastAsia="Arial" w:hAnsi="Arial" w:cs="Arial"/>
          <w:b/>
          <w:sz w:val="24"/>
          <w:szCs w:val="24"/>
          <w:vertAlign w:val="superscript"/>
        </w:rPr>
        <w:t>th</w:t>
      </w:r>
      <w:r>
        <w:rPr>
          <w:rFonts w:ascii="Arial" w:eastAsia="Arial" w:hAnsi="Arial" w:cs="Arial"/>
          <w:b/>
          <w:sz w:val="24"/>
          <w:szCs w:val="24"/>
        </w:rPr>
        <w:t xml:space="preserve"> – March 03</w:t>
      </w:r>
      <w:r>
        <w:rPr>
          <w:rFonts w:ascii="Arial" w:eastAsia="Arial" w:hAnsi="Arial" w:cs="Arial"/>
          <w:b/>
          <w:sz w:val="24"/>
          <w:szCs w:val="24"/>
          <w:vertAlign w:val="superscript"/>
        </w:rPr>
        <w:t>rd</w:t>
      </w:r>
      <w:r>
        <w:rPr>
          <w:rFonts w:ascii="Arial" w:eastAsia="Arial" w:hAnsi="Arial" w:cs="Arial"/>
          <w:b/>
          <w:sz w:val="24"/>
          <w:szCs w:val="24"/>
        </w:rPr>
        <w:t>, 2023</w:t>
      </w:r>
    </w:p>
    <w:p w14:paraId="0D9B0D95" w14:textId="77777777" w:rsidR="00C72EA7" w:rsidRDefault="00C72EA7">
      <w:pPr>
        <w:pStyle w:val="3"/>
        <w:tabs>
          <w:tab w:val="left" w:pos="360"/>
          <w:tab w:val="left" w:pos="1710"/>
        </w:tabs>
        <w:rPr>
          <w:rFonts w:ascii="Arial" w:eastAsia="Arial" w:hAnsi="Arial" w:cs="Arial"/>
          <w:b/>
          <w:color w:val="000000"/>
          <w:sz w:val="20"/>
          <w:szCs w:val="20"/>
        </w:rPr>
      </w:pPr>
    </w:p>
    <w:p w14:paraId="1064BF8F" w14:textId="42D4EEAE" w:rsidR="00C72EA7"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7D7A34">
        <w:rPr>
          <w:rFonts w:ascii="Arial" w:eastAsia="Arial" w:hAnsi="Arial" w:cs="Arial"/>
          <w:b/>
          <w:color w:val="000000"/>
          <w:sz w:val="20"/>
          <w:szCs w:val="20"/>
        </w:rPr>
        <w:t>9.6.4.2</w:t>
      </w:r>
    </w:p>
    <w:p w14:paraId="04158DCC" w14:textId="77777777" w:rsidR="00C72EA7"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w:t>
      </w:r>
    </w:p>
    <w:p w14:paraId="49ED6B1A" w14:textId="77777777" w:rsidR="00C72EA7"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Lower MSD capability signalling</w:t>
      </w:r>
    </w:p>
    <w:p w14:paraId="3432B3CA" w14:textId="77777777" w:rsidR="00C72EA7"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8282314" w14:textId="77777777" w:rsidR="00C72EA7" w:rsidRDefault="00000000">
      <w:pPr>
        <w:pStyle w:val="1"/>
        <w:numPr>
          <w:ilvl w:val="0"/>
          <w:numId w:val="1"/>
        </w:numPr>
        <w:spacing w:before="240"/>
        <w:ind w:left="270" w:hanging="270"/>
      </w:pPr>
      <w:bookmarkStart w:id="0" w:name="_heading=h.gjdgxs" w:colFirst="0" w:colLast="0"/>
      <w:bookmarkEnd w:id="0"/>
      <w:r>
        <w:t>Introduction</w:t>
      </w:r>
    </w:p>
    <w:p w14:paraId="56D66FCF" w14:textId="77777777" w:rsidR="00C72EA7" w:rsidRDefault="00000000">
      <w:r>
        <w:t>In RAN4 #105 meeting, RAN4 concluded that lower MSD is feasible based on the feasibility results from interested vendor’s MSD results and approved the WF [1] on study for lower MSD which were discussed about the lower MSD as follow:</w:t>
      </w:r>
    </w:p>
    <w:p w14:paraId="7B8C4537" w14:textId="77777777" w:rsidR="00C72EA7" w:rsidRDefault="00C72EA7">
      <w:pPr>
        <w:jc w:val="right"/>
      </w:pPr>
    </w:p>
    <w:tbl>
      <w:tblPr>
        <w:tblStyle w:val="afe"/>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C72EA7" w14:paraId="5C00037F" w14:textId="77777777">
        <w:tc>
          <w:tcPr>
            <w:tcW w:w="9019" w:type="dxa"/>
          </w:tcPr>
          <w:p w14:paraId="4F485A32" w14:textId="77777777" w:rsidR="00C72EA7" w:rsidRDefault="00000000">
            <w:pPr>
              <w:rPr>
                <w:b/>
                <w:i/>
                <w:u w:val="single"/>
              </w:rPr>
            </w:pPr>
            <w:r>
              <w:rPr>
                <w:b/>
                <w:i/>
                <w:u w:val="single"/>
              </w:rPr>
              <w:t xml:space="preserve">Issue 3-3-2: Single value/threshold or multiple thresholds </w:t>
            </w:r>
          </w:p>
          <w:p w14:paraId="25B91CE3" w14:textId="77777777" w:rsidR="00C72EA7" w:rsidRDefault="00000000">
            <w:r>
              <w:t>&lt;Agreement&gt;:</w:t>
            </w:r>
          </w:p>
          <w:p w14:paraId="4995F972" w14:textId="77777777" w:rsidR="00C72EA7" w:rsidRDefault="00000000">
            <w:pPr>
              <w:numPr>
                <w:ilvl w:val="0"/>
                <w:numId w:val="5"/>
              </w:numPr>
            </w:pPr>
            <w:r>
              <w:t xml:space="preserve">Define the multiple thresholds for lower </w:t>
            </w:r>
            <w:proofErr w:type="gramStart"/>
            <w:r>
              <w:t>MSD</w:t>
            </w:r>
            <w:proofErr w:type="gramEnd"/>
          </w:p>
          <w:p w14:paraId="198F611C" w14:textId="77777777" w:rsidR="00C72EA7" w:rsidRDefault="00000000">
            <w:pPr>
              <w:numPr>
                <w:ilvl w:val="1"/>
                <w:numId w:val="5"/>
              </w:numPr>
              <w:rPr>
                <w:highlight w:val="yellow"/>
              </w:rPr>
            </w:pPr>
            <w:r>
              <w:rPr>
                <w:highlight w:val="yellow"/>
              </w:rPr>
              <w:t xml:space="preserve">FFS on whether identical thresholds can be applicable to all the MSD types and aggressor power </w:t>
            </w:r>
            <w:proofErr w:type="gramStart"/>
            <w:r>
              <w:rPr>
                <w:highlight w:val="yellow"/>
              </w:rPr>
              <w:t>class</w:t>
            </w:r>
            <w:proofErr w:type="gramEnd"/>
          </w:p>
          <w:p w14:paraId="2C8D28B8" w14:textId="77777777" w:rsidR="00C72EA7" w:rsidRDefault="00000000">
            <w:pPr>
              <w:numPr>
                <w:ilvl w:val="1"/>
                <w:numId w:val="5"/>
              </w:numPr>
            </w:pPr>
            <w:r>
              <w:t xml:space="preserve">Identical thresholds can be applicable to all the band </w:t>
            </w:r>
            <w:proofErr w:type="gramStart"/>
            <w:r>
              <w:t>combinations</w:t>
            </w:r>
            <w:proofErr w:type="gramEnd"/>
          </w:p>
          <w:p w14:paraId="3E5FE180" w14:textId="77777777" w:rsidR="00C72EA7" w:rsidRDefault="00C72EA7">
            <w:pPr>
              <w:ind w:left="840"/>
              <w:rPr>
                <w:b/>
                <w:i/>
                <w:u w:val="single"/>
              </w:rPr>
            </w:pPr>
          </w:p>
          <w:p w14:paraId="7F5AD05A" w14:textId="77777777" w:rsidR="00C72EA7" w:rsidRDefault="00000000">
            <w:pPr>
              <w:rPr>
                <w:b/>
                <w:i/>
                <w:u w:val="single"/>
              </w:rPr>
            </w:pPr>
            <w:r>
              <w:rPr>
                <w:b/>
                <w:i/>
                <w:u w:val="single"/>
              </w:rPr>
              <w:t xml:space="preserve">Issue 3-2-4: Lower MSD capability for IMD with different orders </w:t>
            </w:r>
          </w:p>
          <w:p w14:paraId="59F7F944" w14:textId="77777777" w:rsidR="00C72EA7" w:rsidRDefault="00000000">
            <w:pPr>
              <w:numPr>
                <w:ilvl w:val="0"/>
                <w:numId w:val="5"/>
              </w:numPr>
            </w:pPr>
            <w:r>
              <w:t xml:space="preserve">Option 1: </w:t>
            </w:r>
          </w:p>
          <w:p w14:paraId="19228730" w14:textId="77777777" w:rsidR="00C72EA7" w:rsidRDefault="00000000">
            <w:pPr>
              <w:numPr>
                <w:ilvl w:val="0"/>
                <w:numId w:val="4"/>
              </w:numPr>
            </w:pPr>
            <w: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14:paraId="5CA8FBFA" w14:textId="77777777" w:rsidR="00C72EA7" w:rsidRDefault="00000000">
            <w:pPr>
              <w:numPr>
                <w:ilvl w:val="0"/>
                <w:numId w:val="4"/>
              </w:numPr>
            </w:pPr>
            <w:r>
              <w:t>For one band combination with 3CC as UL, only the lowest order IMD (triple beat) is considered in terms of Lower MSD information reporting.</w:t>
            </w:r>
          </w:p>
          <w:p w14:paraId="59D780DB" w14:textId="77777777" w:rsidR="00C72EA7" w:rsidRDefault="00000000">
            <w:r>
              <w:t>The selected IMDs should be with the same UL/DL configurations and test points as for the minimum requirements.</w:t>
            </w:r>
          </w:p>
          <w:p w14:paraId="3B7745FF" w14:textId="77777777" w:rsidR="00C72EA7" w:rsidRDefault="00000000">
            <w:pPr>
              <w:numPr>
                <w:ilvl w:val="0"/>
                <w:numId w:val="5"/>
              </w:numPr>
            </w:pPr>
            <w:r>
              <w:t xml:space="preserve">Option2: if there are multiple orders of IMD for a specific band combination, only the lowest order of IMD improvement is considered to be </w:t>
            </w:r>
            <w:proofErr w:type="gramStart"/>
            <w:r>
              <w:t>reported</w:t>
            </w:r>
            <w:proofErr w:type="gramEnd"/>
            <w:r>
              <w:t xml:space="preserve"> </w:t>
            </w:r>
          </w:p>
          <w:p w14:paraId="69C52BD0" w14:textId="77777777" w:rsidR="00C72EA7" w:rsidRDefault="00000000">
            <w:pPr>
              <w:numPr>
                <w:ilvl w:val="0"/>
                <w:numId w:val="5"/>
              </w:numPr>
            </w:pPr>
            <w:r>
              <w:t xml:space="preserve">Option 3: The interference types can include the types that are defined in 3GPP spec, </w:t>
            </w:r>
            <w:proofErr w:type="gramStart"/>
            <w:r>
              <w:t>i.e.</w:t>
            </w:r>
            <w:proofErr w:type="gramEnd"/>
            <w:r>
              <w:t xml:space="preserve"> harmonics, IMD, Tx leakage, harmonic mixing, etc. And the interference order can be {1, 2, 3, 4, 5} </w:t>
            </w:r>
          </w:p>
          <w:p w14:paraId="4C2EC525" w14:textId="77777777" w:rsidR="00C72EA7" w:rsidRDefault="00000000">
            <w:pPr>
              <w:numPr>
                <w:ilvl w:val="0"/>
                <w:numId w:val="5"/>
              </w:numPr>
            </w:pPr>
            <w:r>
              <w:t>Option 4: Others</w:t>
            </w:r>
          </w:p>
          <w:p w14:paraId="394DFC93" w14:textId="77777777" w:rsidR="00C72EA7" w:rsidRDefault="00C72EA7">
            <w:pPr>
              <w:rPr>
                <w:b/>
                <w:i/>
              </w:rPr>
            </w:pPr>
          </w:p>
          <w:p w14:paraId="7FDF6EF6" w14:textId="77777777" w:rsidR="00C72EA7" w:rsidRDefault="00000000">
            <w:pPr>
              <w:rPr>
                <w:highlight w:val="yellow"/>
              </w:rPr>
            </w:pPr>
            <w:r>
              <w:rPr>
                <w:b/>
                <w:highlight w:val="yellow"/>
              </w:rPr>
              <w:t>&lt;Way Forward&gt;:</w:t>
            </w:r>
          </w:p>
          <w:p w14:paraId="39B0D239" w14:textId="77777777" w:rsidR="00C72EA7" w:rsidRDefault="00000000">
            <w:r>
              <w:rPr>
                <w:highlight w:val="yellow"/>
              </w:rPr>
              <w:t>FFS in next meeting.</w:t>
            </w:r>
            <w:r>
              <w:t xml:space="preserve"> </w:t>
            </w:r>
          </w:p>
          <w:p w14:paraId="4F7D9C1D" w14:textId="77777777" w:rsidR="00C72EA7" w:rsidRDefault="00C72EA7"/>
          <w:p w14:paraId="20DAE259" w14:textId="77777777" w:rsidR="00C72EA7" w:rsidRDefault="00000000">
            <w:pPr>
              <w:rPr>
                <w:b/>
                <w:i/>
                <w:u w:val="single"/>
              </w:rPr>
            </w:pPr>
            <w:r>
              <w:rPr>
                <w:b/>
                <w:i/>
                <w:u w:val="single"/>
              </w:rPr>
              <w:t>Issue 3-2-5: Lower MSD capability for Harmonic/harmonic mixing/cross band isolation with different test points</w:t>
            </w:r>
          </w:p>
          <w:p w14:paraId="082A33B2" w14:textId="77777777" w:rsidR="00C72EA7" w:rsidRDefault="00000000">
            <w:pPr>
              <w:numPr>
                <w:ilvl w:val="0"/>
                <w:numId w:val="5"/>
              </w:numPr>
            </w:pPr>
            <w:r>
              <w:lastRenderedPageBreak/>
              <w:t>Option 1:</w:t>
            </w:r>
          </w:p>
          <w:p w14:paraId="560DF274" w14:textId="77777777" w:rsidR="00C72EA7" w:rsidRDefault="00000000">
            <w:pPr>
              <w:ind w:left="420"/>
            </w:pPr>
            <w:r>
              <w:t xml:space="preserve">For harmonic/harmonic mixing/cross band isolation, the Lower MSD capability should be derived and verified under the </w:t>
            </w:r>
            <w:proofErr w:type="gramStart"/>
            <w:r>
              <w:t>worst case</w:t>
            </w:r>
            <w:proofErr w:type="gramEnd"/>
            <w:r>
              <w:t xml:space="preserve"> UL/DL configuration as for the specified minimum requirements, rather than under all configurations. To be more specific:</w:t>
            </w:r>
          </w:p>
          <w:p w14:paraId="701B2E38" w14:textId="77777777" w:rsidR="00C72EA7" w:rsidRDefault="00000000">
            <w:pPr>
              <w:numPr>
                <w:ilvl w:val="0"/>
                <w:numId w:val="4"/>
              </w:numPr>
              <w:ind w:left="780"/>
            </w:pPr>
            <w:r>
              <w:t xml:space="preserve">For harmonic, the worst case configuration is under the minimum victim DL CBW &amp; “direct-hit” as collision type; </w:t>
            </w:r>
          </w:p>
          <w:p w14:paraId="5DC911A1" w14:textId="77777777" w:rsidR="00C72EA7" w:rsidRDefault="00000000">
            <w:pPr>
              <w:numPr>
                <w:ilvl w:val="0"/>
                <w:numId w:val="4"/>
              </w:numPr>
              <w:ind w:left="780"/>
            </w:pPr>
            <w:r>
              <w:t>For harmonic mixing, the worst case configuration is under the minimum victim DL CBW;</w:t>
            </w:r>
          </w:p>
          <w:p w14:paraId="05B62DED" w14:textId="77777777" w:rsidR="00C72EA7" w:rsidRDefault="00000000">
            <w:pPr>
              <w:numPr>
                <w:ilvl w:val="0"/>
                <w:numId w:val="4"/>
              </w:numPr>
              <w:ind w:left="780"/>
            </w:pPr>
            <w:r>
              <w:t>For cross band isolation, the worst case configuration is under the minimum victim DL CBW&amp; maximum aggressor UL CBW, FFS on how to deal with the case that for a band combination UE does not support the maximum UL CBW defined for the aggressor band in the MSD table for cross band isolation.</w:t>
            </w:r>
          </w:p>
          <w:p w14:paraId="390C87CF" w14:textId="77777777" w:rsidR="00C72EA7" w:rsidRDefault="00000000">
            <w:pPr>
              <w:ind w:left="420"/>
            </w:pPr>
            <w:r>
              <w:t xml:space="preserve">Note: The </w:t>
            </w:r>
            <w:proofErr w:type="gramStart"/>
            <w:r>
              <w:t>worst case</w:t>
            </w:r>
            <w:proofErr w:type="gramEnd"/>
            <w:r>
              <w:t xml:space="preserve"> configuration for harmonic/harmonic mixing/cross band isolation is mandatorily specified. </w:t>
            </w:r>
          </w:p>
          <w:p w14:paraId="30C2D835" w14:textId="77777777" w:rsidR="00C72EA7" w:rsidRDefault="00000000">
            <w:pPr>
              <w:numPr>
                <w:ilvl w:val="0"/>
                <w:numId w:val="5"/>
              </w:numPr>
            </w:pPr>
            <w:r>
              <w:t xml:space="preserve">Option 2: Define and evaluate the lower MSD capability based on the 1st test point for a band combination in the 3GPP </w:t>
            </w:r>
            <w:proofErr w:type="gramStart"/>
            <w:r>
              <w:t>spec</w:t>
            </w:r>
            <w:proofErr w:type="gramEnd"/>
            <w:r>
              <w:t xml:space="preserve"> </w:t>
            </w:r>
          </w:p>
          <w:p w14:paraId="3DED3216" w14:textId="77777777" w:rsidR="00C72EA7" w:rsidRDefault="00000000">
            <w:pPr>
              <w:numPr>
                <w:ilvl w:val="0"/>
                <w:numId w:val="5"/>
              </w:numPr>
            </w:pPr>
            <w:r>
              <w:t>Option 3: Others</w:t>
            </w:r>
          </w:p>
          <w:p w14:paraId="4FA73EBF" w14:textId="77777777" w:rsidR="00C72EA7" w:rsidRDefault="00C72EA7"/>
          <w:p w14:paraId="5E1F0D89" w14:textId="77777777" w:rsidR="00C72EA7" w:rsidRDefault="00000000">
            <w:pPr>
              <w:rPr>
                <w:highlight w:val="yellow"/>
              </w:rPr>
            </w:pPr>
            <w:r>
              <w:rPr>
                <w:b/>
                <w:highlight w:val="yellow"/>
              </w:rPr>
              <w:t>&lt;Way Forward&gt;:</w:t>
            </w:r>
          </w:p>
          <w:p w14:paraId="68572D0A" w14:textId="77777777" w:rsidR="00C72EA7" w:rsidRDefault="00000000">
            <w:r>
              <w:rPr>
                <w:highlight w:val="yellow"/>
              </w:rPr>
              <w:t>Combined option 1 and option 2 is considered as starting point for further discussion in next meeting, other options are not precluded.</w:t>
            </w:r>
          </w:p>
          <w:p w14:paraId="7367C487" w14:textId="77777777" w:rsidR="00C72EA7" w:rsidRDefault="00C72EA7">
            <w:pPr>
              <w:rPr>
                <w:b/>
                <w:u w:val="single"/>
              </w:rPr>
            </w:pPr>
          </w:p>
          <w:p w14:paraId="6EEB5E75" w14:textId="77777777" w:rsidR="00C72EA7" w:rsidRDefault="00000000">
            <w:pPr>
              <w:rPr>
                <w:b/>
                <w:i/>
                <w:u w:val="single"/>
              </w:rPr>
            </w:pPr>
            <w:r>
              <w:rPr>
                <w:b/>
                <w:i/>
                <w:u w:val="single"/>
              </w:rPr>
              <w:t xml:space="preserve">Issue 3-4-2: Applicability of Lower MSD capability for higher order combination </w:t>
            </w:r>
          </w:p>
          <w:p w14:paraId="5693B29A" w14:textId="77777777" w:rsidR="00C72EA7" w:rsidRDefault="00000000">
            <w:pPr>
              <w:numPr>
                <w:ilvl w:val="0"/>
                <w:numId w:val="5"/>
              </w:numPr>
            </w:pPr>
            <w:r>
              <w:t xml:space="preserve">Option 1: Share the following information with RAN2: the applicability of Lower MSD capability for combinations consisting of different bands. </w:t>
            </w:r>
          </w:p>
          <w:p w14:paraId="7B37A0C6" w14:textId="77777777" w:rsidR="00C72EA7" w:rsidRDefault="00000000">
            <w:pPr>
              <w:numPr>
                <w:ilvl w:val="0"/>
                <w:numId w:val="3"/>
              </w:numPr>
              <w:ind w:left="860"/>
            </w:pPr>
            <w:r>
              <w:t xml:space="preserve">For 2-bands combination, Lower MSD information (improved MSD) are supposed to be reported separately as per source per band per band </w:t>
            </w:r>
            <w:proofErr w:type="gramStart"/>
            <w:r>
              <w:t>combination</w:t>
            </w:r>
            <w:proofErr w:type="gramEnd"/>
          </w:p>
          <w:p w14:paraId="201FBC2D" w14:textId="77777777" w:rsidR="00C72EA7" w:rsidRDefault="00000000">
            <w:pPr>
              <w:numPr>
                <w:ilvl w:val="0"/>
                <w:numId w:val="3"/>
              </w:numPr>
              <w:ind w:left="860"/>
            </w:pPr>
            <w:r>
              <w:t>For 3-bands combination with specific UL and DL, the Lower MSD information (improved MSD) is only reported for IMD of dual UL falls into the third band DL.</w:t>
            </w:r>
          </w:p>
          <w:p w14:paraId="7C82C1B7" w14:textId="77777777" w:rsidR="00C72EA7" w:rsidRDefault="00000000">
            <w:pPr>
              <w:numPr>
                <w:ilvl w:val="0"/>
                <w:numId w:val="3"/>
              </w:numPr>
              <w:ind w:left="860"/>
            </w:pPr>
            <w:r>
              <w:t xml:space="preserve">For combination with more than 3 bands, no need to report the Lower MSD capability </w:t>
            </w:r>
            <w:proofErr w:type="gramStart"/>
            <w:r>
              <w:t>any more</w:t>
            </w:r>
            <w:proofErr w:type="gramEnd"/>
            <w:r>
              <w:t>.</w:t>
            </w:r>
          </w:p>
          <w:p w14:paraId="3F4E929A" w14:textId="77777777" w:rsidR="00C72EA7" w:rsidRDefault="00000000">
            <w:pPr>
              <w:numPr>
                <w:ilvl w:val="0"/>
                <w:numId w:val="5"/>
              </w:numPr>
            </w:pPr>
            <w:r>
              <w:t xml:space="preserve">Option 2: Low MSD capability signalling if specified for two band and three band combinations only. For three band combinations, the capability is only </w:t>
            </w:r>
            <w:proofErr w:type="gramStart"/>
            <w:r>
              <w:t>with regard to</w:t>
            </w:r>
            <w:proofErr w:type="gramEnd"/>
            <w:r>
              <w:t xml:space="preserve"> MSD on the third band due to dual band uplink. If the capability is not reported, the MSD in existing specs apply. For higher order band combinations, worst case of low MSD capability signalling (largest MSD value) for the band </w:t>
            </w:r>
            <w:proofErr w:type="gramStart"/>
            <w:r>
              <w:t>applies</w:t>
            </w:r>
            <w:proofErr w:type="gramEnd"/>
            <w:r>
              <w:t xml:space="preserve"> </w:t>
            </w:r>
          </w:p>
          <w:p w14:paraId="445AE102" w14:textId="77777777" w:rsidR="00C72EA7" w:rsidRDefault="00000000">
            <w:pPr>
              <w:numPr>
                <w:ilvl w:val="0"/>
                <w:numId w:val="5"/>
              </w:numPr>
            </w:pPr>
            <w:r>
              <w:t xml:space="preserve">Option 3: For a band combination consisting of more than 3 bands DL, the lower MSD capability is derived based on that of the 2/3 bands DL fallbacks, which are the minimum BC units to report lower </w:t>
            </w:r>
            <w:proofErr w:type="gramStart"/>
            <w:r>
              <w:t>MSD</w:t>
            </w:r>
            <w:proofErr w:type="gramEnd"/>
            <w:r>
              <w:t xml:space="preserve"> </w:t>
            </w:r>
          </w:p>
          <w:p w14:paraId="6D76D301" w14:textId="77777777" w:rsidR="00C72EA7" w:rsidRDefault="00000000">
            <w:pPr>
              <w:numPr>
                <w:ilvl w:val="0"/>
                <w:numId w:val="5"/>
              </w:numPr>
            </w:pPr>
            <w:r>
              <w:t xml:space="preserve">Option 4: If high band combination is with low MSD, then the fallback band combinations can also be considered as low MSD considering high band combination has more complex interference </w:t>
            </w:r>
            <w:proofErr w:type="gramStart"/>
            <w:r>
              <w:t>situations</w:t>
            </w:r>
            <w:proofErr w:type="gramEnd"/>
            <w:r>
              <w:t xml:space="preserve"> </w:t>
            </w:r>
          </w:p>
          <w:p w14:paraId="0289BFEF" w14:textId="77777777" w:rsidR="00C72EA7" w:rsidRDefault="00C72EA7">
            <w:pPr>
              <w:rPr>
                <w:b/>
                <w:i/>
              </w:rPr>
            </w:pPr>
          </w:p>
          <w:p w14:paraId="7994DCF5" w14:textId="77777777" w:rsidR="00C72EA7" w:rsidRDefault="00000000">
            <w:r>
              <w:rPr>
                <w:b/>
              </w:rPr>
              <w:t>&lt;Way Forward&gt;:</w:t>
            </w:r>
          </w:p>
          <w:p w14:paraId="5EED987E" w14:textId="77777777" w:rsidR="00C72EA7" w:rsidRDefault="00000000">
            <w:r>
              <w:rPr>
                <w:highlight w:val="yellow"/>
              </w:rPr>
              <w:t xml:space="preserve">Using option 1 as starting point for further discussion in next meeting, other options are not </w:t>
            </w:r>
            <w:r>
              <w:rPr>
                <w:highlight w:val="yellow"/>
              </w:rPr>
              <w:lastRenderedPageBreak/>
              <w:t>precluded.</w:t>
            </w:r>
            <w:r>
              <w:t xml:space="preserve"> </w:t>
            </w:r>
          </w:p>
        </w:tc>
      </w:tr>
    </w:tbl>
    <w:p w14:paraId="0793044B" w14:textId="77777777" w:rsidR="00C72EA7" w:rsidRDefault="00000000">
      <w:r>
        <w:lastRenderedPageBreak/>
        <w:t xml:space="preserve"> </w:t>
      </w:r>
    </w:p>
    <w:p w14:paraId="2E186CF7" w14:textId="77777777" w:rsidR="00C72EA7" w:rsidRDefault="00000000">
      <w:r>
        <w:t>In this paper, we propose the reported lower MSD value range, MSD threshold and granularity for the lower MSD capability. Also, we propose how to apply the MSD applicability for different orders  and  different MSD sources. Furthermore, we share our view on how to apply lower MSD requirements for the high order inter-band CA/DC combinations.</w:t>
      </w:r>
    </w:p>
    <w:p w14:paraId="7A1910A6" w14:textId="77777777" w:rsidR="00C72EA7" w:rsidRDefault="00C72EA7"/>
    <w:p w14:paraId="2EA0B71A" w14:textId="77777777" w:rsidR="00C72EA7" w:rsidRDefault="00000000">
      <w:pPr>
        <w:pStyle w:val="1"/>
        <w:numPr>
          <w:ilvl w:val="0"/>
          <w:numId w:val="2"/>
        </w:numPr>
        <w:spacing w:before="240"/>
        <w:ind w:left="270" w:hanging="270"/>
      </w:pPr>
      <w:r>
        <w:t>Signalling for lower MSD capability</w:t>
      </w:r>
    </w:p>
    <w:p w14:paraId="669D3197" w14:textId="77777777" w:rsidR="00C72EA7" w:rsidRDefault="00000000">
      <w:pPr>
        <w:pStyle w:val="2"/>
        <w:numPr>
          <w:ilvl w:val="1"/>
          <w:numId w:val="2"/>
        </w:numPr>
        <w:spacing w:before="240"/>
        <w:ind w:left="540" w:hanging="567"/>
      </w:pPr>
      <w:r>
        <w:t>How to indicate the lower MSD capability for the inter-band CA/DC band combinations</w:t>
      </w:r>
    </w:p>
    <w:p w14:paraId="37846332" w14:textId="77777777" w:rsidR="00C72EA7" w:rsidRDefault="00000000">
      <w:r>
        <w:t>In the last RAN4 meeting, the feasibility study was concluded as feasible to apply the lower MSD values for the UE specific optional features. However, RAN4 still does not clearly understand how to apply the new optional capability signalling to support the lower MSD capability among the different MSD sources and different order. The single/multiple threshold mechanism was discussed at the last RAN4 meeting. RAN4 will further discuss the pros and cons to introduce the threshold mechanism to indicate the lower MSD capability which is beneficial not to define the individual MSD levels for all CA/DC band combinations.</w:t>
      </w:r>
    </w:p>
    <w:p w14:paraId="6CDE39DF" w14:textId="77777777" w:rsidR="00C72EA7" w:rsidRDefault="00000000">
      <w:r>
        <w:t xml:space="preserve">For the threshold mechanism, the multiple thresholds can be applied to these multiple different IMD/Harmonic/Harmonic mixing orders and different orders of the same MSD source. However, the single threshold is a simple way to apply the lower MSD capability, but it could not reflect the actual MSD margin according to different MSD source and different order of same MSD source. </w:t>
      </w:r>
      <w:proofErr w:type="gramStart"/>
      <w:r>
        <w:t>Hence</w:t>
      </w:r>
      <w:proofErr w:type="gramEnd"/>
      <w:r>
        <w:t xml:space="preserve"> we prefer to apply multiple threshold mechanisms to reflect actual MSD margin with small granularity according to different MSD sources and different order of the same source.   </w:t>
      </w:r>
    </w:p>
    <w:p w14:paraId="245F0F82" w14:textId="77777777" w:rsidR="00C72EA7" w:rsidRDefault="00C72EA7"/>
    <w:p w14:paraId="6DE2AC7D" w14:textId="77777777" w:rsidR="00C72EA7" w:rsidRDefault="00000000">
      <w:r>
        <w:t>Based on this analysis, we propose the following.</w:t>
      </w:r>
    </w:p>
    <w:p w14:paraId="2C003571" w14:textId="77777777" w:rsidR="00C72EA7" w:rsidRDefault="00000000">
      <w:pPr>
        <w:rPr>
          <w:i/>
        </w:rPr>
      </w:pPr>
      <w:r>
        <w:rPr>
          <w:b/>
          <w:i/>
        </w:rPr>
        <w:t>Proposal #1:</w:t>
      </w:r>
      <w:r>
        <w:rPr>
          <w:i/>
        </w:rPr>
        <w:t xml:space="preserve"> RAN4 only introduces multiple thresholds to indicate the lower MSD capability for all CA/DC band combinations to report the individual MSD threshold for all CA/DC band combinations.</w:t>
      </w:r>
    </w:p>
    <w:p w14:paraId="1F0EF79C" w14:textId="77777777" w:rsidR="00C72EA7" w:rsidRDefault="00000000">
      <w:pPr>
        <w:rPr>
          <w:i/>
        </w:rPr>
      </w:pPr>
      <w:r>
        <w:rPr>
          <w:b/>
          <w:i/>
        </w:rPr>
        <w:t>Proposal #2:</w:t>
      </w:r>
      <w:r>
        <w:rPr>
          <w:i/>
        </w:rPr>
        <w:t xml:space="preserve"> For the lower MSD capability signalling, RAN4 needs to send the MSD source and victim operating band only.</w:t>
      </w:r>
    </w:p>
    <w:p w14:paraId="1C3DE10F" w14:textId="77777777" w:rsidR="00C72EA7" w:rsidRDefault="00C72EA7"/>
    <w:p w14:paraId="0CEFB792" w14:textId="77777777" w:rsidR="00C72EA7" w:rsidRDefault="00000000">
      <w:pPr>
        <w:pStyle w:val="2"/>
        <w:numPr>
          <w:ilvl w:val="1"/>
          <w:numId w:val="2"/>
        </w:numPr>
        <w:spacing w:before="240"/>
        <w:ind w:left="540" w:hanging="567"/>
      </w:pPr>
      <w:r>
        <w:t>How to report lower MSD levels for a BC with a different MSD source and different order within same MSD source</w:t>
      </w:r>
    </w:p>
    <w:p w14:paraId="63621B94" w14:textId="77777777" w:rsidR="00C72EA7" w:rsidRDefault="00000000">
      <w:r>
        <w:t>For the example CA band combinations, the achievable MSD levels are derived based on the results from the interested companies for different MSD sources and different orders within the same MSD source.</w:t>
      </w:r>
    </w:p>
    <w:p w14:paraId="45C8D7CE" w14:textId="77777777" w:rsidR="00C72EA7" w:rsidRDefault="00C72EA7"/>
    <w:p w14:paraId="450BC7E9" w14:textId="4CED55A9" w:rsidR="00C72EA7" w:rsidRDefault="00000000">
      <w:r>
        <w:t>In MSD evaluation results in TR38.881 [4], the expected MSD improvements in case of 2</w:t>
      </w:r>
      <w:r>
        <w:rPr>
          <w:vertAlign w:val="superscript"/>
        </w:rPr>
        <w:t>nd</w:t>
      </w:r>
      <w:r>
        <w:t xml:space="preserve"> harmonic product, cross band isolation and dual uplink transmissions are less than 10dB compared to the existing MSD requirements in TS38.101-1 and TS38.101-3. Also, the </w:t>
      </w:r>
      <w:r w:rsidR="002608C6">
        <w:t>evaluation</w:t>
      </w:r>
      <w:r>
        <w:t xml:space="preserve"> from interested companies results [4] showed that up to 20 dB MSD improvements were feasible. Based on these evaluation results, we propose to report the lower MSD capability as a compromise.</w:t>
      </w:r>
    </w:p>
    <w:p w14:paraId="700119D2" w14:textId="77777777" w:rsidR="00C72EA7" w:rsidRDefault="00C72EA7"/>
    <w:p w14:paraId="754887DE" w14:textId="77777777" w:rsidR="00C72EA7" w:rsidRDefault="00000000">
      <w:pPr>
        <w:spacing w:before="60" w:after="60"/>
        <w:jc w:val="center"/>
        <w:rPr>
          <w:rFonts w:ascii="Arial" w:eastAsia="Arial" w:hAnsi="Arial" w:cs="Arial"/>
          <w:b/>
        </w:rPr>
      </w:pPr>
      <w:r>
        <w:rPr>
          <w:rFonts w:ascii="Arial" w:eastAsia="Arial" w:hAnsi="Arial" w:cs="Arial"/>
          <w:b/>
        </w:rPr>
        <w:t>Table 1: MSD reporting bitmap for lower MSD capability</w:t>
      </w:r>
    </w:p>
    <w:tbl>
      <w:tblPr>
        <w:tblStyle w:val="aff"/>
        <w:tblW w:w="890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1916"/>
        <w:gridCol w:w="4273"/>
      </w:tblGrid>
      <w:tr w:rsidR="00C72EA7" w14:paraId="782E1589" w14:textId="77777777">
        <w:tc>
          <w:tcPr>
            <w:tcW w:w="1043" w:type="dxa"/>
          </w:tcPr>
          <w:p w14:paraId="7A915624" w14:textId="77777777" w:rsidR="00C72EA7" w:rsidRDefault="00000000">
            <w:pPr>
              <w:pBdr>
                <w:top w:val="nil"/>
                <w:left w:val="nil"/>
                <w:bottom w:val="nil"/>
                <w:right w:val="nil"/>
                <w:between w:val="nil"/>
              </w:pBdr>
              <w:spacing w:after="0"/>
              <w:rPr>
                <w:i/>
                <w:color w:val="000000"/>
                <w:sz w:val="20"/>
                <w:szCs w:val="20"/>
              </w:rPr>
            </w:pPr>
            <w:r>
              <w:rPr>
                <w:i/>
                <w:color w:val="000000"/>
                <w:sz w:val="20"/>
                <w:szCs w:val="20"/>
              </w:rPr>
              <w:t>Bit map</w:t>
            </w:r>
          </w:p>
        </w:tc>
        <w:tc>
          <w:tcPr>
            <w:tcW w:w="1674" w:type="dxa"/>
          </w:tcPr>
          <w:p w14:paraId="34A2A514" w14:textId="77777777" w:rsidR="00C72EA7" w:rsidRDefault="00000000">
            <w:pPr>
              <w:pBdr>
                <w:top w:val="nil"/>
                <w:left w:val="nil"/>
                <w:bottom w:val="nil"/>
                <w:right w:val="nil"/>
                <w:between w:val="nil"/>
              </w:pBdr>
              <w:spacing w:after="0"/>
              <w:rPr>
                <w:i/>
                <w:color w:val="000000"/>
                <w:sz w:val="20"/>
                <w:szCs w:val="20"/>
              </w:rPr>
            </w:pPr>
            <w:r>
              <w:rPr>
                <w:i/>
                <w:color w:val="000000"/>
                <w:sz w:val="20"/>
                <w:szCs w:val="20"/>
              </w:rPr>
              <w:t xml:space="preserve">Maximum </w:t>
            </w:r>
            <w:r>
              <w:rPr>
                <w:i/>
                <w:color w:val="000000"/>
                <w:sz w:val="20"/>
                <w:szCs w:val="20"/>
              </w:rPr>
              <w:lastRenderedPageBreak/>
              <w:t xml:space="preserve">allowed actual </w:t>
            </w:r>
            <w:proofErr w:type="gramStart"/>
            <w:r>
              <w:rPr>
                <w:i/>
                <w:color w:val="000000"/>
                <w:sz w:val="20"/>
                <w:szCs w:val="20"/>
              </w:rPr>
              <w:t>MSD</w:t>
            </w:r>
            <w:proofErr w:type="gramEnd"/>
            <w:r>
              <w:rPr>
                <w:i/>
                <w:color w:val="000000"/>
                <w:sz w:val="20"/>
                <w:szCs w:val="20"/>
              </w:rPr>
              <w:t xml:space="preserve"> </w:t>
            </w:r>
          </w:p>
          <w:p w14:paraId="5EA3CFCC" w14:textId="77777777" w:rsidR="00C72EA7" w:rsidRDefault="00000000">
            <w:pPr>
              <w:pBdr>
                <w:top w:val="nil"/>
                <w:left w:val="nil"/>
                <w:bottom w:val="nil"/>
                <w:right w:val="nil"/>
                <w:between w:val="nil"/>
              </w:pBdr>
              <w:spacing w:after="0"/>
              <w:rPr>
                <w:i/>
                <w:color w:val="000000"/>
                <w:sz w:val="20"/>
                <w:szCs w:val="20"/>
              </w:rPr>
            </w:pPr>
            <w:r>
              <w:rPr>
                <w:i/>
                <w:color w:val="000000"/>
                <w:sz w:val="20"/>
                <w:szCs w:val="20"/>
              </w:rPr>
              <w:t>(</w:t>
            </w:r>
            <w:proofErr w:type="gramStart"/>
            <w:r>
              <w:rPr>
                <w:i/>
                <w:color w:val="000000"/>
                <w:sz w:val="20"/>
                <w:szCs w:val="20"/>
              </w:rPr>
              <w:t>i.e.</w:t>
            </w:r>
            <w:proofErr w:type="gramEnd"/>
            <w:r>
              <w:rPr>
                <w:i/>
                <w:color w:val="000000"/>
                <w:sz w:val="20"/>
                <w:szCs w:val="20"/>
              </w:rPr>
              <w:t xml:space="preserve"> Thresholds)</w:t>
            </w:r>
          </w:p>
        </w:tc>
        <w:tc>
          <w:tcPr>
            <w:tcW w:w="1916" w:type="dxa"/>
          </w:tcPr>
          <w:p w14:paraId="4D67B5A7" w14:textId="77777777" w:rsidR="00C72EA7" w:rsidRDefault="00000000">
            <w:pPr>
              <w:pBdr>
                <w:top w:val="nil"/>
                <w:left w:val="nil"/>
                <w:bottom w:val="nil"/>
                <w:right w:val="nil"/>
                <w:between w:val="nil"/>
              </w:pBdr>
              <w:spacing w:after="0"/>
              <w:rPr>
                <w:i/>
                <w:color w:val="000000"/>
                <w:sz w:val="20"/>
                <w:szCs w:val="20"/>
              </w:rPr>
            </w:pPr>
            <w:r>
              <w:rPr>
                <w:i/>
                <w:color w:val="000000"/>
                <w:sz w:val="20"/>
                <w:szCs w:val="20"/>
              </w:rPr>
              <w:lastRenderedPageBreak/>
              <w:t xml:space="preserve">Lower MSD </w:t>
            </w:r>
            <w:r>
              <w:rPr>
                <w:i/>
                <w:color w:val="000000"/>
                <w:sz w:val="20"/>
                <w:szCs w:val="20"/>
              </w:rPr>
              <w:lastRenderedPageBreak/>
              <w:t>Capability classes</w:t>
            </w:r>
          </w:p>
        </w:tc>
        <w:tc>
          <w:tcPr>
            <w:tcW w:w="4273" w:type="dxa"/>
          </w:tcPr>
          <w:p w14:paraId="1EB09AC4" w14:textId="77777777" w:rsidR="00C72EA7" w:rsidRDefault="00000000">
            <w:pPr>
              <w:pBdr>
                <w:top w:val="nil"/>
                <w:left w:val="nil"/>
                <w:bottom w:val="nil"/>
                <w:right w:val="nil"/>
                <w:between w:val="nil"/>
              </w:pBdr>
              <w:spacing w:after="0"/>
              <w:rPr>
                <w:i/>
                <w:color w:val="000000"/>
                <w:sz w:val="20"/>
                <w:szCs w:val="20"/>
              </w:rPr>
            </w:pPr>
            <w:r>
              <w:rPr>
                <w:i/>
                <w:color w:val="000000"/>
                <w:sz w:val="20"/>
                <w:szCs w:val="20"/>
              </w:rPr>
              <w:lastRenderedPageBreak/>
              <w:t>Note</w:t>
            </w:r>
          </w:p>
        </w:tc>
      </w:tr>
      <w:tr w:rsidR="00C72EA7" w14:paraId="6CDCEFFB" w14:textId="77777777">
        <w:trPr>
          <w:trHeight w:val="20"/>
        </w:trPr>
        <w:tc>
          <w:tcPr>
            <w:tcW w:w="1043" w:type="dxa"/>
          </w:tcPr>
          <w:p w14:paraId="1AFD1BC9" w14:textId="77777777" w:rsidR="00C72EA7" w:rsidRDefault="00000000">
            <w:pPr>
              <w:spacing w:after="0"/>
            </w:pPr>
            <w:r>
              <w:t>000</w:t>
            </w:r>
          </w:p>
        </w:tc>
        <w:tc>
          <w:tcPr>
            <w:tcW w:w="1674" w:type="dxa"/>
          </w:tcPr>
          <w:p w14:paraId="7B1FC0F6" w14:textId="77777777" w:rsidR="00C72EA7" w:rsidRDefault="00000000">
            <w:pPr>
              <w:spacing w:after="0"/>
              <w:jc w:val="center"/>
            </w:pPr>
            <w:r>
              <w:t>-</w:t>
            </w:r>
          </w:p>
        </w:tc>
        <w:tc>
          <w:tcPr>
            <w:tcW w:w="1916" w:type="dxa"/>
          </w:tcPr>
          <w:p w14:paraId="0C3AA07F" w14:textId="77777777" w:rsidR="00C72EA7" w:rsidRDefault="00000000">
            <w:pPr>
              <w:spacing w:after="0"/>
            </w:pPr>
            <w:r>
              <w:t xml:space="preserve">Not supported the lower MSD optional capability </w:t>
            </w:r>
          </w:p>
        </w:tc>
        <w:tc>
          <w:tcPr>
            <w:tcW w:w="4273" w:type="dxa"/>
          </w:tcPr>
          <w:p w14:paraId="402BD6D1" w14:textId="77777777" w:rsidR="00C72EA7" w:rsidRDefault="00000000">
            <w:pPr>
              <w:spacing w:after="0"/>
            </w:pPr>
            <w:r>
              <w:t>Not supported the lower MSD capability. Only apply the existing MSD requirements in TS38.101-1 and TS38.101-3.</w:t>
            </w:r>
          </w:p>
        </w:tc>
      </w:tr>
      <w:tr w:rsidR="00C72EA7" w14:paraId="737EBAC8" w14:textId="77777777">
        <w:trPr>
          <w:trHeight w:val="20"/>
        </w:trPr>
        <w:tc>
          <w:tcPr>
            <w:tcW w:w="1043" w:type="dxa"/>
          </w:tcPr>
          <w:p w14:paraId="72EF6B23" w14:textId="77777777" w:rsidR="00C72EA7" w:rsidRDefault="00000000">
            <w:pPr>
              <w:spacing w:after="0"/>
            </w:pPr>
            <w:r>
              <w:t>001</w:t>
            </w:r>
          </w:p>
        </w:tc>
        <w:tc>
          <w:tcPr>
            <w:tcW w:w="1674" w:type="dxa"/>
          </w:tcPr>
          <w:p w14:paraId="65EE20C3" w14:textId="77777777" w:rsidR="00C72EA7" w:rsidRDefault="00000000">
            <w:pPr>
              <w:spacing w:after="0"/>
              <w:jc w:val="center"/>
            </w:pPr>
            <w:r>
              <w:t>3 dB</w:t>
            </w:r>
          </w:p>
        </w:tc>
        <w:tc>
          <w:tcPr>
            <w:tcW w:w="1916" w:type="dxa"/>
          </w:tcPr>
          <w:p w14:paraId="7B6BCD33" w14:textId="77777777" w:rsidR="00C72EA7" w:rsidRDefault="00000000">
            <w:pPr>
              <w:spacing w:after="0"/>
            </w:pPr>
            <w:r>
              <w:t>Ⅰ</w:t>
            </w:r>
          </w:p>
        </w:tc>
        <w:tc>
          <w:tcPr>
            <w:tcW w:w="4273" w:type="dxa"/>
          </w:tcPr>
          <w:p w14:paraId="71AC2119" w14:textId="77777777" w:rsidR="00C72EA7" w:rsidRDefault="00000000">
            <w:pPr>
              <w:spacing w:after="0"/>
            </w:pPr>
            <w:sdt>
              <w:sdtPr>
                <w:tag w:val="goog_rdk_0"/>
                <w:id w:val="2140062817"/>
              </w:sdtPr>
              <w:sdtContent>
                <w:r w:rsidRPr="002608C6">
                  <w:t>0 ≤ Actual MSD ≤ 3</w:t>
                </w:r>
              </w:sdtContent>
            </w:sdt>
          </w:p>
        </w:tc>
      </w:tr>
      <w:tr w:rsidR="00C72EA7" w14:paraId="4083CE08" w14:textId="77777777">
        <w:trPr>
          <w:trHeight w:val="20"/>
        </w:trPr>
        <w:tc>
          <w:tcPr>
            <w:tcW w:w="1043" w:type="dxa"/>
            <w:vAlign w:val="center"/>
          </w:tcPr>
          <w:p w14:paraId="5FD090DA" w14:textId="77777777" w:rsidR="00C72EA7" w:rsidRDefault="00000000">
            <w:pPr>
              <w:spacing w:after="0"/>
            </w:pPr>
            <w:r>
              <w:t>010</w:t>
            </w:r>
          </w:p>
        </w:tc>
        <w:tc>
          <w:tcPr>
            <w:tcW w:w="1674" w:type="dxa"/>
            <w:vAlign w:val="center"/>
          </w:tcPr>
          <w:p w14:paraId="5F51E152" w14:textId="77777777" w:rsidR="00C72EA7" w:rsidRDefault="00000000">
            <w:pPr>
              <w:spacing w:after="0"/>
              <w:jc w:val="center"/>
            </w:pPr>
            <w:r>
              <w:t>6 dB</w:t>
            </w:r>
          </w:p>
        </w:tc>
        <w:tc>
          <w:tcPr>
            <w:tcW w:w="1916" w:type="dxa"/>
            <w:vAlign w:val="center"/>
          </w:tcPr>
          <w:p w14:paraId="633DF6BB" w14:textId="77777777" w:rsidR="00C72EA7" w:rsidRDefault="00000000">
            <w:pPr>
              <w:spacing w:after="0"/>
            </w:pPr>
            <w:r>
              <w:t>Ⅱ</w:t>
            </w:r>
          </w:p>
        </w:tc>
        <w:tc>
          <w:tcPr>
            <w:tcW w:w="4273" w:type="dxa"/>
            <w:vAlign w:val="center"/>
          </w:tcPr>
          <w:p w14:paraId="5B2F4C02" w14:textId="77777777" w:rsidR="00C72EA7" w:rsidRDefault="00000000">
            <w:pPr>
              <w:spacing w:after="0"/>
            </w:pPr>
            <w:sdt>
              <w:sdtPr>
                <w:tag w:val="goog_rdk_1"/>
                <w:id w:val="652259783"/>
              </w:sdtPr>
              <w:sdtContent>
                <w:r w:rsidRPr="002608C6">
                  <w:t>3 &lt; Actual MSD ≤ 6</w:t>
                </w:r>
              </w:sdtContent>
            </w:sdt>
          </w:p>
        </w:tc>
      </w:tr>
      <w:tr w:rsidR="00C72EA7" w14:paraId="2EE58DEE" w14:textId="77777777">
        <w:trPr>
          <w:trHeight w:val="20"/>
        </w:trPr>
        <w:tc>
          <w:tcPr>
            <w:tcW w:w="1043" w:type="dxa"/>
            <w:vAlign w:val="center"/>
          </w:tcPr>
          <w:p w14:paraId="1B83D290" w14:textId="77777777" w:rsidR="00C72EA7" w:rsidRDefault="00000000">
            <w:pPr>
              <w:spacing w:after="0"/>
            </w:pPr>
            <w:r>
              <w:t>011</w:t>
            </w:r>
          </w:p>
        </w:tc>
        <w:tc>
          <w:tcPr>
            <w:tcW w:w="1674" w:type="dxa"/>
            <w:vAlign w:val="center"/>
          </w:tcPr>
          <w:p w14:paraId="2B31A6FF" w14:textId="77777777" w:rsidR="00C72EA7" w:rsidRDefault="00000000">
            <w:pPr>
              <w:spacing w:after="0"/>
              <w:jc w:val="center"/>
            </w:pPr>
            <w:r>
              <w:t>9 dB</w:t>
            </w:r>
          </w:p>
        </w:tc>
        <w:tc>
          <w:tcPr>
            <w:tcW w:w="1916" w:type="dxa"/>
            <w:vAlign w:val="center"/>
          </w:tcPr>
          <w:p w14:paraId="2AE03F75" w14:textId="77777777" w:rsidR="00C72EA7" w:rsidRDefault="00000000">
            <w:pPr>
              <w:spacing w:after="0"/>
            </w:pPr>
            <w:r>
              <w:t>Ⅲ</w:t>
            </w:r>
          </w:p>
        </w:tc>
        <w:tc>
          <w:tcPr>
            <w:tcW w:w="4273" w:type="dxa"/>
            <w:vAlign w:val="center"/>
          </w:tcPr>
          <w:p w14:paraId="77EF3588" w14:textId="77777777" w:rsidR="00C72EA7" w:rsidRDefault="00000000">
            <w:pPr>
              <w:spacing w:after="0"/>
            </w:pPr>
            <w:sdt>
              <w:sdtPr>
                <w:tag w:val="goog_rdk_2"/>
                <w:id w:val="-1963729310"/>
              </w:sdtPr>
              <w:sdtContent>
                <w:r w:rsidRPr="002608C6">
                  <w:t>6 &lt; Actual MSD ≤ 9</w:t>
                </w:r>
              </w:sdtContent>
            </w:sdt>
          </w:p>
        </w:tc>
      </w:tr>
      <w:tr w:rsidR="00C72EA7" w14:paraId="05C6C49F" w14:textId="77777777">
        <w:trPr>
          <w:trHeight w:val="20"/>
        </w:trPr>
        <w:tc>
          <w:tcPr>
            <w:tcW w:w="1043" w:type="dxa"/>
            <w:vAlign w:val="center"/>
          </w:tcPr>
          <w:p w14:paraId="3782B01D" w14:textId="77777777" w:rsidR="00C72EA7" w:rsidRDefault="00000000">
            <w:pPr>
              <w:spacing w:after="0"/>
            </w:pPr>
            <w:r>
              <w:t>100</w:t>
            </w:r>
          </w:p>
        </w:tc>
        <w:tc>
          <w:tcPr>
            <w:tcW w:w="1674" w:type="dxa"/>
          </w:tcPr>
          <w:p w14:paraId="2BAB1B68" w14:textId="77777777" w:rsidR="00C72EA7" w:rsidRDefault="00000000">
            <w:pPr>
              <w:spacing w:after="0"/>
              <w:jc w:val="center"/>
            </w:pPr>
            <w:r>
              <w:t>12 dB</w:t>
            </w:r>
          </w:p>
        </w:tc>
        <w:tc>
          <w:tcPr>
            <w:tcW w:w="1916" w:type="dxa"/>
            <w:vAlign w:val="center"/>
          </w:tcPr>
          <w:p w14:paraId="5E473A93" w14:textId="77777777" w:rsidR="00C72EA7" w:rsidRDefault="00000000">
            <w:pPr>
              <w:spacing w:after="0"/>
            </w:pPr>
            <w:r>
              <w:t>IV</w:t>
            </w:r>
          </w:p>
        </w:tc>
        <w:tc>
          <w:tcPr>
            <w:tcW w:w="4273" w:type="dxa"/>
          </w:tcPr>
          <w:p w14:paraId="6D9EF26A" w14:textId="77777777" w:rsidR="00C72EA7" w:rsidRDefault="00000000">
            <w:pPr>
              <w:spacing w:after="0"/>
            </w:pPr>
            <w:sdt>
              <w:sdtPr>
                <w:tag w:val="goog_rdk_3"/>
                <w:id w:val="-940832446"/>
              </w:sdtPr>
              <w:sdtContent>
                <w:r w:rsidRPr="002608C6">
                  <w:t>9 &lt; Actual MSD ≤ 12</w:t>
                </w:r>
              </w:sdtContent>
            </w:sdt>
          </w:p>
        </w:tc>
      </w:tr>
      <w:tr w:rsidR="00C72EA7" w14:paraId="09EDBEF9" w14:textId="77777777">
        <w:trPr>
          <w:trHeight w:val="20"/>
        </w:trPr>
        <w:tc>
          <w:tcPr>
            <w:tcW w:w="1043" w:type="dxa"/>
            <w:vAlign w:val="center"/>
          </w:tcPr>
          <w:p w14:paraId="3571C1D5" w14:textId="77777777" w:rsidR="00C72EA7" w:rsidRDefault="00000000">
            <w:pPr>
              <w:spacing w:after="0"/>
            </w:pPr>
            <w:r>
              <w:t>101</w:t>
            </w:r>
          </w:p>
        </w:tc>
        <w:tc>
          <w:tcPr>
            <w:tcW w:w="1674" w:type="dxa"/>
            <w:vAlign w:val="center"/>
          </w:tcPr>
          <w:p w14:paraId="6825D973" w14:textId="77777777" w:rsidR="00C72EA7" w:rsidRDefault="00000000">
            <w:pPr>
              <w:spacing w:after="0"/>
              <w:jc w:val="center"/>
            </w:pPr>
            <w:r>
              <w:t>15 dB</w:t>
            </w:r>
          </w:p>
        </w:tc>
        <w:tc>
          <w:tcPr>
            <w:tcW w:w="1916" w:type="dxa"/>
            <w:vAlign w:val="center"/>
          </w:tcPr>
          <w:p w14:paraId="0F13FF26" w14:textId="77777777" w:rsidR="00C72EA7" w:rsidRDefault="00000000">
            <w:pPr>
              <w:spacing w:after="0"/>
            </w:pPr>
            <w:r>
              <w:t>V</w:t>
            </w:r>
          </w:p>
        </w:tc>
        <w:tc>
          <w:tcPr>
            <w:tcW w:w="4273" w:type="dxa"/>
            <w:vAlign w:val="center"/>
          </w:tcPr>
          <w:p w14:paraId="0D301DA3" w14:textId="77777777" w:rsidR="00C72EA7" w:rsidRDefault="00000000">
            <w:pPr>
              <w:spacing w:after="0"/>
            </w:pPr>
            <w:sdt>
              <w:sdtPr>
                <w:tag w:val="goog_rdk_4"/>
                <w:id w:val="-2137405817"/>
              </w:sdtPr>
              <w:sdtContent>
                <w:r w:rsidRPr="002608C6">
                  <w:t>12 &lt; Actual MSD ≤ 15</w:t>
                </w:r>
              </w:sdtContent>
            </w:sdt>
          </w:p>
        </w:tc>
      </w:tr>
      <w:tr w:rsidR="00C72EA7" w14:paraId="317AEF62" w14:textId="77777777">
        <w:trPr>
          <w:trHeight w:val="20"/>
        </w:trPr>
        <w:tc>
          <w:tcPr>
            <w:tcW w:w="1043" w:type="dxa"/>
            <w:vAlign w:val="center"/>
          </w:tcPr>
          <w:p w14:paraId="00C41840" w14:textId="77777777" w:rsidR="00C72EA7" w:rsidRDefault="00000000">
            <w:pPr>
              <w:spacing w:after="0"/>
            </w:pPr>
            <w:r>
              <w:t>110</w:t>
            </w:r>
          </w:p>
        </w:tc>
        <w:tc>
          <w:tcPr>
            <w:tcW w:w="1674" w:type="dxa"/>
            <w:vAlign w:val="center"/>
          </w:tcPr>
          <w:p w14:paraId="7DE2EECB" w14:textId="77777777" w:rsidR="00C72EA7" w:rsidRDefault="00000000">
            <w:pPr>
              <w:spacing w:after="0"/>
              <w:jc w:val="center"/>
            </w:pPr>
            <w:r>
              <w:t>18 dB</w:t>
            </w:r>
          </w:p>
        </w:tc>
        <w:tc>
          <w:tcPr>
            <w:tcW w:w="1916" w:type="dxa"/>
            <w:vAlign w:val="center"/>
          </w:tcPr>
          <w:p w14:paraId="05EFCDA6" w14:textId="77777777" w:rsidR="00C72EA7" w:rsidRDefault="00000000">
            <w:pPr>
              <w:spacing w:after="0"/>
            </w:pPr>
            <w:r>
              <w:t>VI</w:t>
            </w:r>
          </w:p>
        </w:tc>
        <w:tc>
          <w:tcPr>
            <w:tcW w:w="4273" w:type="dxa"/>
            <w:vAlign w:val="center"/>
          </w:tcPr>
          <w:p w14:paraId="5BB10789" w14:textId="77777777" w:rsidR="00C72EA7" w:rsidRDefault="00000000">
            <w:pPr>
              <w:spacing w:after="0"/>
            </w:pPr>
            <w:sdt>
              <w:sdtPr>
                <w:tag w:val="goog_rdk_5"/>
                <w:id w:val="-1641877886"/>
              </w:sdtPr>
              <w:sdtContent>
                <w:r w:rsidRPr="002608C6">
                  <w:t>15 &lt; Actual MSD ≤ 18</w:t>
                </w:r>
              </w:sdtContent>
            </w:sdt>
          </w:p>
        </w:tc>
      </w:tr>
      <w:tr w:rsidR="00C72EA7" w14:paraId="56BE1CD6" w14:textId="77777777">
        <w:trPr>
          <w:trHeight w:val="20"/>
        </w:trPr>
        <w:tc>
          <w:tcPr>
            <w:tcW w:w="1043" w:type="dxa"/>
            <w:vAlign w:val="center"/>
          </w:tcPr>
          <w:p w14:paraId="543E498F" w14:textId="77777777" w:rsidR="00C72EA7" w:rsidRDefault="00000000">
            <w:pPr>
              <w:spacing w:after="0"/>
            </w:pPr>
            <w:r>
              <w:t>111</w:t>
            </w:r>
          </w:p>
        </w:tc>
        <w:tc>
          <w:tcPr>
            <w:tcW w:w="1674" w:type="dxa"/>
            <w:vAlign w:val="center"/>
          </w:tcPr>
          <w:p w14:paraId="7498CD4F" w14:textId="77777777" w:rsidR="00C72EA7" w:rsidRDefault="00000000">
            <w:pPr>
              <w:spacing w:after="0"/>
              <w:ind w:left="360"/>
              <w:jc w:val="center"/>
            </w:pPr>
            <w:r>
              <w:t>&gt; 18 dB</w:t>
            </w:r>
          </w:p>
        </w:tc>
        <w:tc>
          <w:tcPr>
            <w:tcW w:w="1916" w:type="dxa"/>
            <w:vAlign w:val="center"/>
          </w:tcPr>
          <w:p w14:paraId="25095227" w14:textId="77777777" w:rsidR="00C72EA7" w:rsidRDefault="00000000">
            <w:pPr>
              <w:spacing w:after="0"/>
            </w:pPr>
            <w:r>
              <w:t>VII</w:t>
            </w:r>
          </w:p>
        </w:tc>
        <w:tc>
          <w:tcPr>
            <w:tcW w:w="4273" w:type="dxa"/>
            <w:vAlign w:val="center"/>
          </w:tcPr>
          <w:p w14:paraId="71A15EC8" w14:textId="77777777" w:rsidR="00C72EA7" w:rsidRDefault="00000000">
            <w:pPr>
              <w:spacing w:after="0"/>
            </w:pPr>
            <w:r>
              <w:t>Actual MSD &gt; 18</w:t>
            </w:r>
          </w:p>
        </w:tc>
      </w:tr>
    </w:tbl>
    <w:p w14:paraId="56651316" w14:textId="77777777" w:rsidR="00C72EA7" w:rsidRDefault="00C72EA7"/>
    <w:p w14:paraId="7E9A088F" w14:textId="77777777" w:rsidR="00C72EA7" w:rsidRDefault="00000000">
      <w:pPr>
        <w:rPr>
          <w:b/>
          <w:i/>
        </w:rPr>
      </w:pPr>
      <w:r>
        <w:rPr>
          <w:b/>
          <w:i/>
        </w:rPr>
        <w:t>Proposal #3:</w:t>
      </w:r>
      <w:r>
        <w:rPr>
          <w:i/>
        </w:rPr>
        <w:t xml:space="preserve"> RAN4 introduces a predefined threshold using 3-bit MSD reporting bitmap in Table 1 to apply lower capability for all CA/DC band combinations according to the different MSD sources and different order within the same MSD source.</w:t>
      </w:r>
    </w:p>
    <w:p w14:paraId="7647406B" w14:textId="77777777" w:rsidR="00C72EA7" w:rsidRDefault="00C72EA7"/>
    <w:p w14:paraId="267F4D6C" w14:textId="77777777" w:rsidR="00C72EA7" w:rsidRDefault="00000000">
      <w:pPr>
        <w:pStyle w:val="2"/>
        <w:numPr>
          <w:ilvl w:val="1"/>
          <w:numId w:val="2"/>
        </w:numPr>
        <w:spacing w:before="240"/>
        <w:ind w:left="540" w:hanging="567"/>
      </w:pPr>
      <w:r>
        <w:t xml:space="preserve">Discussion on the applicability of lower MSD capability </w:t>
      </w:r>
      <w:proofErr w:type="gramStart"/>
      <w:r>
        <w:t>signalling</w:t>
      </w:r>
      <w:proofErr w:type="gramEnd"/>
    </w:p>
    <w:p w14:paraId="7CC9E825" w14:textId="77777777" w:rsidR="00C72EA7" w:rsidRDefault="00000000">
      <w:r>
        <w:t xml:space="preserve">To support lower MSD capability for both power class 3 and power class 2, RAN4 needs detailed evaluations on how to achieve lower MSD levels for different power classes. Currently, RAN4 agreed on a RF architecture restriction for the higher power devices such as PC2 NR inter-band CA UE (dual PA w/ 23+26 dBm or w/ 26+26 dBm) and PC1.5 NR inter-band CA (dual PA w/ 26+26 dBm). These PA/Antenna restrictions will make different MSD evaluation outcomes from that of power class 3 NR CA UE. Thus, RAN4 would need further discussion as case by case for an individual high power NR inter-band CA UE whether the same MSD threshold could apply or not. </w:t>
      </w:r>
    </w:p>
    <w:p w14:paraId="68DBD152" w14:textId="77777777" w:rsidR="00C72EA7" w:rsidRDefault="00000000">
      <w:r>
        <w:t>Based on this, we propose to consider the same threshold mechanism for power class 3 to apply for a high-power NR CA band combinations UE as a starting point to introduce an MSD threshold for the capability of lower MSD of high-power NR CA UE. RAN4 could recommend a single difference MSD value which could be reported with a 3-bit MSD reporting bitmap in Table 1 as a starting point for high power NR CA UE. Based on this, we propose the following.</w:t>
      </w:r>
    </w:p>
    <w:p w14:paraId="53FA169F" w14:textId="77777777" w:rsidR="00C72EA7" w:rsidRDefault="00C72EA7"/>
    <w:p w14:paraId="3C42B7D1" w14:textId="77777777" w:rsidR="00C72EA7" w:rsidRDefault="00000000">
      <w:pPr>
        <w:rPr>
          <w:b/>
          <w:i/>
        </w:rPr>
      </w:pPr>
      <w:r>
        <w:rPr>
          <w:b/>
          <w:i/>
        </w:rPr>
        <w:t xml:space="preserve">Proposal #4: </w:t>
      </w:r>
      <w:r>
        <w:rPr>
          <w:i/>
        </w:rPr>
        <w:t>RAN4 can consider the above 3-bit MSD reporting bitmap in Table 8 as a starting point for a high-power NR CA band combinations UE.</w:t>
      </w:r>
    </w:p>
    <w:p w14:paraId="66928F89" w14:textId="77777777" w:rsidR="00C72EA7" w:rsidRDefault="00C72EA7"/>
    <w:p w14:paraId="1F9966F8" w14:textId="77777777" w:rsidR="00C72EA7" w:rsidRDefault="00000000">
      <w:pPr>
        <w:pStyle w:val="2"/>
        <w:numPr>
          <w:ilvl w:val="1"/>
          <w:numId w:val="2"/>
        </w:numPr>
        <w:spacing w:before="240"/>
        <w:ind w:left="540" w:hanging="567"/>
      </w:pPr>
      <w:r>
        <w:t xml:space="preserve">Discussion on the applicability of lower MSD capability for higher order CA/DC band combinations </w:t>
      </w:r>
    </w:p>
    <w:p w14:paraId="5B0FF6A8" w14:textId="77777777" w:rsidR="00C72EA7" w:rsidRDefault="00000000">
      <w:r>
        <w:t xml:space="preserve">From the LTE CA/DC band combinations, RAN4 had some rules to define the MSD requirements for the high order CA/DC band combinations since the high-order CA/DC had the same problem as observed in the own DL bands by the dual uplink transmission. Hence, we prefer to follow the basic principle as following option 1 in WF [1] at last RAN4 #105 meeting. </w:t>
      </w:r>
    </w:p>
    <w:p w14:paraId="0E767E93" w14:textId="77777777" w:rsidR="00C72EA7" w:rsidRDefault="00C72EA7"/>
    <w:p w14:paraId="72E28452" w14:textId="77777777" w:rsidR="00C72EA7" w:rsidRDefault="00000000">
      <w:pPr>
        <w:numPr>
          <w:ilvl w:val="0"/>
          <w:numId w:val="5"/>
        </w:numPr>
      </w:pPr>
      <w:r>
        <w:t xml:space="preserve"> Option 1: Share the following information with RAN2: the applicability of Lower MSD capability for combinations consisting of different bands. </w:t>
      </w:r>
    </w:p>
    <w:p w14:paraId="76FB4375" w14:textId="77777777" w:rsidR="00C72EA7" w:rsidRDefault="00000000">
      <w:pPr>
        <w:numPr>
          <w:ilvl w:val="0"/>
          <w:numId w:val="3"/>
        </w:numPr>
        <w:ind w:left="860"/>
      </w:pPr>
      <w:r>
        <w:t>For 2-bands combination, Lower MSD information (improved MSD) is supposed to be reported separately as per source per band per band combination.</w:t>
      </w:r>
    </w:p>
    <w:p w14:paraId="2057E182" w14:textId="77777777" w:rsidR="00C72EA7" w:rsidRDefault="00000000">
      <w:pPr>
        <w:numPr>
          <w:ilvl w:val="0"/>
          <w:numId w:val="3"/>
        </w:numPr>
        <w:ind w:left="860"/>
      </w:pPr>
      <w:r>
        <w:t xml:space="preserve">For 3-bands combination with specific UL and DL, the Lower MSD information (improved </w:t>
      </w:r>
      <w:r>
        <w:lastRenderedPageBreak/>
        <w:t>MSD) is only reported for IMD of dual UL falls into the third band DL.</w:t>
      </w:r>
    </w:p>
    <w:p w14:paraId="6672F165" w14:textId="77777777" w:rsidR="00C72EA7" w:rsidRDefault="00000000">
      <w:pPr>
        <w:numPr>
          <w:ilvl w:val="0"/>
          <w:numId w:val="3"/>
        </w:numPr>
        <w:ind w:left="860"/>
      </w:pPr>
      <w:r>
        <w:t xml:space="preserve">For combination with more than 3 bands, no need to report the Lower MSD capability </w:t>
      </w:r>
      <w:proofErr w:type="gramStart"/>
      <w:r>
        <w:t>any more</w:t>
      </w:r>
      <w:proofErr w:type="gramEnd"/>
      <w:r>
        <w:t>.</w:t>
      </w:r>
    </w:p>
    <w:p w14:paraId="62A3A03B" w14:textId="77777777" w:rsidR="00C72EA7" w:rsidRDefault="00000000">
      <w:r>
        <w:t xml:space="preserve"> </w:t>
      </w:r>
    </w:p>
    <w:p w14:paraId="3A46F0E5" w14:textId="77777777" w:rsidR="00C72EA7" w:rsidRDefault="00000000">
      <w:pPr>
        <w:rPr>
          <w:b/>
          <w:i/>
        </w:rPr>
      </w:pPr>
      <w:r>
        <w:rPr>
          <w:b/>
          <w:i/>
        </w:rPr>
        <w:t xml:space="preserve">Proposal #5: </w:t>
      </w:r>
      <w:r>
        <w:rPr>
          <w:i/>
        </w:rPr>
        <w:t>Above proposals in option 1 will be applied to all high-order CA/DC band combinations to define the lower MSD capability signalling.</w:t>
      </w:r>
      <w:r>
        <w:rPr>
          <w:b/>
          <w:i/>
        </w:rPr>
        <w:t xml:space="preserve"> </w:t>
      </w:r>
    </w:p>
    <w:p w14:paraId="4E944587" w14:textId="77777777" w:rsidR="00C72EA7" w:rsidRDefault="00C72EA7"/>
    <w:p w14:paraId="293C18B2" w14:textId="77777777" w:rsidR="00C72EA7" w:rsidRDefault="00000000">
      <w:pPr>
        <w:pStyle w:val="1"/>
        <w:numPr>
          <w:ilvl w:val="0"/>
          <w:numId w:val="2"/>
        </w:numPr>
        <w:spacing w:before="240"/>
        <w:ind w:left="270" w:hanging="270"/>
      </w:pPr>
      <w:r>
        <w:t>Conclusions</w:t>
      </w:r>
    </w:p>
    <w:p w14:paraId="018C378A" w14:textId="0D75E754" w:rsidR="00C72EA7" w:rsidRDefault="00000000">
      <w:r>
        <w:t>In this contribution, we provided our view on how to report the MSD levels, how to apply the MSD thresholds for the different MSD source, different order within the same MSD source and different power classes. Also</w:t>
      </w:r>
      <w:r w:rsidR="002608C6">
        <w:t>,</w:t>
      </w:r>
      <w:r>
        <w:t xml:space="preserve"> we prefer to use multiple MSD thresholds to apply lower MSD capability signalling for the all CA/DC band combination. Based on our discussion points for the remaining open issues, we proposed as follow </w:t>
      </w:r>
    </w:p>
    <w:p w14:paraId="7B3B588F" w14:textId="77777777" w:rsidR="00C72EA7" w:rsidRDefault="00C72EA7">
      <w:pPr>
        <w:rPr>
          <w:b/>
        </w:rPr>
      </w:pPr>
    </w:p>
    <w:p w14:paraId="2EC16554" w14:textId="77777777" w:rsidR="00C72EA7" w:rsidRDefault="00000000">
      <w:pPr>
        <w:rPr>
          <w:i/>
        </w:rPr>
      </w:pPr>
      <w:r>
        <w:rPr>
          <w:b/>
          <w:i/>
        </w:rPr>
        <w:t>Proposal #1:</w:t>
      </w:r>
      <w:r>
        <w:rPr>
          <w:i/>
        </w:rPr>
        <w:t xml:space="preserve"> RAN4 only introduces multiple thresholds to indicate the lower MSD capability for all CA/DC band combinations to report the individual MSD threshold for all CA/DC band combinations.</w:t>
      </w:r>
    </w:p>
    <w:p w14:paraId="4C5924CD" w14:textId="77777777" w:rsidR="00C72EA7" w:rsidRDefault="00000000">
      <w:pPr>
        <w:rPr>
          <w:i/>
        </w:rPr>
      </w:pPr>
      <w:r>
        <w:rPr>
          <w:b/>
          <w:i/>
        </w:rPr>
        <w:t>Proposal #2:</w:t>
      </w:r>
      <w:r>
        <w:rPr>
          <w:i/>
        </w:rPr>
        <w:t xml:space="preserve"> For the lower MSD capability signalling, RAN4 needs to send the MSD source and victim operating band only.</w:t>
      </w:r>
    </w:p>
    <w:p w14:paraId="12E5ABC9" w14:textId="77777777" w:rsidR="00C72EA7" w:rsidRDefault="00000000">
      <w:pPr>
        <w:rPr>
          <w:b/>
          <w:i/>
        </w:rPr>
      </w:pPr>
      <w:r>
        <w:rPr>
          <w:b/>
          <w:i/>
        </w:rPr>
        <w:t>Proposal #3:</w:t>
      </w:r>
      <w:r>
        <w:rPr>
          <w:i/>
        </w:rPr>
        <w:t xml:space="preserve"> RAN4 introduces a predefined threshold using 3-bit MSD reporting bitmap in Table 1 to apply lower capability for all CA/DC band combinations according to the different MSD sources and different order within the same MSD source.</w:t>
      </w:r>
    </w:p>
    <w:p w14:paraId="0FFBF34C" w14:textId="77777777" w:rsidR="00C72EA7" w:rsidRDefault="00000000">
      <w:pPr>
        <w:rPr>
          <w:b/>
          <w:i/>
        </w:rPr>
      </w:pPr>
      <w:r>
        <w:rPr>
          <w:b/>
          <w:i/>
        </w:rPr>
        <w:t xml:space="preserve">Proposal #4: </w:t>
      </w:r>
      <w:r>
        <w:rPr>
          <w:i/>
        </w:rPr>
        <w:t>RAN4 can consider the above 3-bit MSD reporting bitmap in Table 8 as a starting point for a high-power NR CA band combinations UE.</w:t>
      </w:r>
    </w:p>
    <w:p w14:paraId="4FB163B4" w14:textId="77777777" w:rsidR="00C72EA7" w:rsidRDefault="00000000">
      <w:pPr>
        <w:rPr>
          <w:b/>
          <w:i/>
        </w:rPr>
      </w:pPr>
      <w:r>
        <w:rPr>
          <w:b/>
          <w:i/>
        </w:rPr>
        <w:t xml:space="preserve">Proposal #5: </w:t>
      </w:r>
      <w:r>
        <w:rPr>
          <w:i/>
        </w:rPr>
        <w:t>Above proposals in option 1 will be applied to all high-order CA/DC band combinations to define the lower MSD capability signalling.</w:t>
      </w:r>
      <w:r>
        <w:rPr>
          <w:b/>
          <w:i/>
        </w:rPr>
        <w:t xml:space="preserve"> </w:t>
      </w:r>
    </w:p>
    <w:p w14:paraId="634AD9F6" w14:textId="77777777" w:rsidR="00C72EA7" w:rsidRDefault="00C72EA7">
      <w:pPr>
        <w:rPr>
          <w:b/>
        </w:rPr>
      </w:pPr>
    </w:p>
    <w:p w14:paraId="4998AFF2" w14:textId="77777777" w:rsidR="00C72EA7" w:rsidRDefault="00000000">
      <w:pPr>
        <w:pStyle w:val="1"/>
        <w:spacing w:before="240"/>
      </w:pPr>
      <w:r>
        <w:t>Reference</w:t>
      </w:r>
    </w:p>
    <w:p w14:paraId="01A2C13E" w14:textId="77777777" w:rsidR="00C72EA7" w:rsidRDefault="00000000">
      <w:pPr>
        <w:widowControl/>
        <w:rPr>
          <w:sz w:val="20"/>
          <w:szCs w:val="20"/>
        </w:rPr>
      </w:pPr>
      <w:r>
        <w:rPr>
          <w:sz w:val="20"/>
          <w:szCs w:val="20"/>
        </w:rPr>
        <w:t>[1] R4-2220824, “WF on study for lower MSD,” Huawei</w:t>
      </w:r>
    </w:p>
    <w:p w14:paraId="5BDC1155" w14:textId="77777777" w:rsidR="00C72EA7" w:rsidRDefault="00000000">
      <w:pPr>
        <w:widowControl/>
        <w:rPr>
          <w:sz w:val="20"/>
          <w:szCs w:val="20"/>
        </w:rPr>
      </w:pPr>
      <w:r>
        <w:rPr>
          <w:sz w:val="20"/>
          <w:szCs w:val="20"/>
        </w:rPr>
        <w:t>[2] RP-2219269, “On the signalling design for lower MSD capability,” Huawei</w:t>
      </w:r>
    </w:p>
    <w:p w14:paraId="2491D15C" w14:textId="77777777" w:rsidR="00C72EA7" w:rsidRDefault="00000000">
      <w:pPr>
        <w:widowControl/>
        <w:rPr>
          <w:sz w:val="20"/>
          <w:szCs w:val="20"/>
        </w:rPr>
      </w:pPr>
      <w:r>
        <w:rPr>
          <w:sz w:val="20"/>
          <w:szCs w:val="20"/>
        </w:rPr>
        <w:t>[3] R4-2218195, “Signalling for low MSD,” Qualcomm</w:t>
      </w:r>
    </w:p>
    <w:p w14:paraId="09196F72" w14:textId="77777777" w:rsidR="00C72EA7" w:rsidRDefault="00000000">
      <w:pPr>
        <w:widowControl/>
        <w:rPr>
          <w:sz w:val="20"/>
          <w:szCs w:val="20"/>
        </w:rPr>
      </w:pPr>
      <w:r>
        <w:rPr>
          <w:sz w:val="20"/>
          <w:szCs w:val="20"/>
        </w:rPr>
        <w:t>[4] TR38.881: Study on lower MSD for inter-band CA/EN-DC/DC combinations</w:t>
      </w:r>
    </w:p>
    <w:p w14:paraId="2FD524A8" w14:textId="77777777" w:rsidR="00C72EA7" w:rsidRDefault="00000000">
      <w:pPr>
        <w:widowControl/>
        <w:rPr>
          <w:sz w:val="20"/>
          <w:szCs w:val="20"/>
        </w:rPr>
      </w:pPr>
      <w:r>
        <w:rPr>
          <w:sz w:val="20"/>
          <w:szCs w:val="20"/>
        </w:rPr>
        <w:t>[5] R4-2218117, “View on signalling for lower MSD,” Apple</w:t>
      </w:r>
    </w:p>
    <w:p w14:paraId="1EEC1C5F" w14:textId="77777777" w:rsidR="00C72EA7" w:rsidRDefault="00000000">
      <w:pPr>
        <w:widowControl/>
        <w:rPr>
          <w:sz w:val="20"/>
          <w:szCs w:val="20"/>
        </w:rPr>
      </w:pPr>
      <w:r>
        <w:rPr>
          <w:sz w:val="20"/>
          <w:szCs w:val="20"/>
        </w:rPr>
        <w:t>[6] TS38.101-1</w:t>
      </w:r>
    </w:p>
    <w:p w14:paraId="63092C18" w14:textId="77777777" w:rsidR="00C72EA7" w:rsidRDefault="00000000">
      <w:pPr>
        <w:widowControl/>
        <w:rPr>
          <w:sz w:val="20"/>
          <w:szCs w:val="20"/>
        </w:rPr>
      </w:pPr>
      <w:r>
        <w:rPr>
          <w:sz w:val="20"/>
          <w:szCs w:val="20"/>
        </w:rPr>
        <w:t>[7] TS38.101-3</w:t>
      </w:r>
    </w:p>
    <w:p w14:paraId="71ED8EC6" w14:textId="77777777" w:rsidR="00C72EA7" w:rsidRDefault="00C72EA7">
      <w:pPr>
        <w:widowControl/>
        <w:rPr>
          <w:sz w:val="20"/>
          <w:szCs w:val="20"/>
        </w:rPr>
      </w:pPr>
    </w:p>
    <w:sectPr w:rsidR="00C72EA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F198C"/>
    <w:multiLevelType w:val="multilevel"/>
    <w:tmpl w:val="689CA32A"/>
    <w:lvl w:ilvl="0">
      <w:numFmt w:val="bullet"/>
      <w:pStyle w:val="CharCharCharChar"/>
      <w:lvlText w:val="-"/>
      <w:lvlJc w:val="left"/>
      <w:pPr>
        <w:ind w:left="420" w:hanging="420"/>
      </w:pPr>
      <w:rPr>
        <w:rFonts w:ascii="Times New Roman" w:eastAsia="Times New Roman" w:hAnsi="Times New Roman" w:cs="Times New Roman"/>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207B4D68"/>
    <w:multiLevelType w:val="multilevel"/>
    <w:tmpl w:val="821AB7A8"/>
    <w:lvl w:ilvl="0">
      <w:start w:val="2"/>
      <w:numFmt w:val="decimal"/>
      <w:lvlText w:val="%1."/>
      <w:lvlJc w:val="left"/>
      <w:pPr>
        <w:ind w:left="417" w:hanging="420"/>
      </w:pPr>
    </w:lvl>
    <w:lvl w:ilvl="1">
      <w:start w:val="1"/>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2E8A1184"/>
    <w:multiLevelType w:val="multilevel"/>
    <w:tmpl w:val="55F891F8"/>
    <w:lvl w:ilvl="0">
      <w:start w:val="2"/>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6492705E"/>
    <w:multiLevelType w:val="multilevel"/>
    <w:tmpl w:val="2D846E5E"/>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4" w15:restartNumberingAfterBreak="0">
    <w:nsid w:val="698446B5"/>
    <w:multiLevelType w:val="multilevel"/>
    <w:tmpl w:val="A482AAAE"/>
    <w:lvl w:ilvl="0">
      <w:start w:val="1"/>
      <w:numFmt w:val="decimal"/>
      <w:pStyle w:val="References"/>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num w:numId="1" w16cid:durableId="1053040699">
    <w:abstractNumId w:val="4"/>
  </w:num>
  <w:num w:numId="2" w16cid:durableId="450788047">
    <w:abstractNumId w:val="1"/>
  </w:num>
  <w:num w:numId="3" w16cid:durableId="1133670274">
    <w:abstractNumId w:val="0"/>
  </w:num>
  <w:num w:numId="4" w16cid:durableId="727800947">
    <w:abstractNumId w:val="2"/>
  </w:num>
  <w:num w:numId="5" w16cid:durableId="5913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EA7"/>
    <w:rsid w:val="002608C6"/>
    <w:rsid w:val="007D7A34"/>
    <w:rsid w:val="00C72E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BD395"/>
  <w15:docId w15:val="{2E4AA399-1380-46E9-9DA2-5CA4F394C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eastAsia="Batang"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e">
    <w:basedOn w:val="TableNormal"/>
    <w:pPr>
      <w:spacing w:after="180"/>
    </w:pPr>
    <w:tblPr>
      <w:tblStyleRowBandSize w:val="1"/>
      <w:tblStyleColBandSize w:val="1"/>
      <w:tblCellMar>
        <w:top w:w="0" w:type="dxa"/>
        <w:left w:w="108" w:type="dxa"/>
        <w:bottom w:w="0" w:type="dxa"/>
        <w:right w:w="108" w:type="dxa"/>
      </w:tblCellMar>
    </w:tblPr>
  </w:style>
  <w:style w:type="table" w:customStyle="1" w:styleId="aff">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vPh+EgGJEOXqaHpkxnYUSFFKqw==">AMUW2mW679BvrtP9aQJZ3sRTBr0xOtiHXAR2o3lnjY0tVZ+yULMNwRUeDscY/86gH7MXQ/dYEs/fLTQCtae3YnhaaC90RnDMrcasrV7YfIg5P7D2R9NCSDQ9YPgHMDn08vQef78mjKvvJoYvIoMl6vHtl6K/jrwBHYCcOGiBCnVuOcjvj2Ha1w8Szv4IhW2ty01IgCs57Ej6hqxj/yrUeEdKI4zwqSiXKQJsPPv8ffgu2dnz7mKhUMna8LsC1JFjRDMkw6CbiRv7nYWHdtzKEiNqEGr0LRFgvfGGp7urxVouRNV4USUAsI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1826</Words>
  <Characters>10410</Characters>
  <Application>Microsoft Office Word</Application>
  <DocSecurity>0</DocSecurity>
  <Lines>86</Lines>
  <Paragraphs>24</Paragraphs>
  <ScaleCrop>false</ScaleCrop>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4</cp:revision>
  <dcterms:created xsi:type="dcterms:W3CDTF">2023-02-16T00:29:00Z</dcterms:created>
  <dcterms:modified xsi:type="dcterms:W3CDTF">2023-02-16T04:56:00Z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